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D7D74"/>
          <w:sz w:val="18"/>
          <w:szCs w:val="18"/>
        </w:rPr>
        <w:t xml:space="preserve">GRANT CONCEPT  ·  SPECIFIC AIMS</w:t>
      </w:r>
    </w:p>
    <w:p>
      <w:pPr>
        <w:spacing w:after="160"/>
      </w:pPr>
      <w:r>
        <w:rPr>
          <w:b/>
          <w:bCs/>
          <w:color w:val="11201F"/>
          <w:sz w:val="34"/>
          <w:szCs w:val="34"/>
        </w:rPr>
        <w:t xml:space="preserve">A Precision Bacteriophage Cocktail to Prevent Necrotizing Enterocolitis in Very-Low-Birth-Weight Infants by Targeting the Pre-Symptomatic Klebsiella Bloom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Principal Investigator</w:t>
            </w:r>
          </w:p>
        </w:tc>
        <w:tc>
          <w:tcPr>
            <w:tcW w:type="dxa" w:w="676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Karen Pendergrass (PhageCocktails / Microbiome Medicine)</w:t>
            </w:r>
          </w:p>
        </w:tc>
      </w:tr>
      <w:tr>
        <w:trPr>
          <w:tblHeader w:val="false"/>
        </w:trP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Proposed mechanism</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NIH R01 (or U-series translational); NICHD / NIAID priorities</w:t>
            </w:r>
          </w:p>
        </w:tc>
      </w:tr>
      <w:tr>
        <w:trPr>
          <w:tblHeader w:val="false"/>
        </w:trP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Indication</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Prevention of necrotizing enterocolitis (NEC) in VLBW / preterm infants</w:t>
            </w:r>
          </w:p>
        </w:tc>
      </w:tr>
      <w:tr>
        <w:trPr>
          <w:tblHeader w:val="false"/>
        </w:trP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Modality</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Oral, GMP-grade, strictly lytic bacteriophage cocktail (anti-Klebsiella)</w:t>
            </w:r>
          </w:p>
        </w:tc>
      </w:tr>
      <w:tr>
        <w:trPr>
          <w:tblHeader w:val="false"/>
        </w:trP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Status</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Concept for discussion — illustrative figures flagged; not a submitted application</w:t>
            </w:r>
          </w:p>
        </w:tc>
      </w:tr>
    </w:tbl>
    <w:p>
      <w:pPr>
        <w:spacing w:after="0" w:before="160"/>
      </w:pPr>
      <w:r>
        <w:rPr>
          <w:sz w:val="8"/>
          <w:szCs w:val="8"/>
        </w:rPr>
        <w:t xml:space="preserve"> </w:t>
      </w:r>
    </w:p>
    <w:p>
      <w:pPr>
        <w:pStyle w:val="Heading1"/>
      </w:pPr>
      <w:r>
        <w:t xml:space="preserve">Specific Aims</w:t>
      </w:r>
    </w:p>
    <w:p>
      <w:pPr>
        <w:spacing w:after="140" w:line="276"/>
      </w:pPr>
      <w:r>
        <w:rPr>
          <w:b/>
          <w:bCs/>
        </w:rPr>
        <w:t xml:space="preserve">Problem. </w:t>
      </w:r>
      <w:r>
        <w:t xml:space="preserve">Necrotizing enterocolitis is the most lethal acquired gastrointestinal emergency of prematurity, with a case-fatality of roughly 15–30% and far higher rates in surgical NEC. Despite decades of research there is </w:t>
      </w:r>
      <w:r>
        <w:rPr>
          <w:b/>
          <w:bCs/>
        </w:rPr>
        <w:t xml:space="preserve">no approved preventive therapy</w:t>
      </w:r>
      <w:r>
        <w:t xml:space="preserve">. The standard response once NEC begins — broad-spectrum antibiotics and surgical resection — arrives after the bowel is already compromised and further deranges the fragile preterm microbiome.</w:t>
      </w:r>
    </w:p>
    <w:p>
      <w:pPr>
        <w:spacing w:after="140" w:line="276"/>
      </w:pPr>
      <w:r>
        <w:rPr>
          <w:b/>
          <w:bCs/>
        </w:rPr>
        <w:t xml:space="preserve">Opportunity. </w:t>
      </w:r>
      <w:r>
        <w:t xml:space="preserve">NEC does not strike at random. Strain-resolved metagenomics shows a reproducible </w:t>
      </w:r>
      <w:r>
        <w:rPr>
          <w:i/>
          <w:iCs/>
        </w:rPr>
        <w:t xml:space="preserve">Klebsiella</w:t>
      </w:r>
      <w:r>
        <w:t xml:space="preserve"> and fimbriated-Enterobacteriaceae bloom — with elevated bacterial replication rates — in the days </w:t>
      </w:r>
      <w:r>
        <w:rPr>
          <w:i/>
          <w:iCs/>
        </w:rPr>
        <w:t xml:space="preserve">before</w:t>
      </w:r>
      <w:r>
        <w:t xml:space="preserve"> clinical onset (Olm, Banfield &amp; Morowitz, Sci Adv 2019). In preterm piglets, transferring a bacteria-free fecal </w:t>
      </w:r>
      <w:r>
        <w:rPr>
          <w:i/>
          <w:iCs/>
        </w:rPr>
        <w:t xml:space="preserve">virome</w:t>
      </w:r>
      <w:r>
        <w:t xml:space="preserve"> prevents NEC (Brunse, ISME J 2021), and UV-inactivating the bacteriophages abolishes that protection (Spiegelhauer, Gut Microbes 2025) — establishing that the active agent is bacteriophage.</w:t>
      </w:r>
    </w:p>
    <w:p>
      <w:pPr>
        <w:spacing w:after="140" w:line="276"/>
      </w:pPr>
      <w:r>
        <w:rPr>
          <w:b/>
          <w:bCs/>
        </w:rPr>
        <w:t xml:space="preserve">Central hypothesis. </w:t>
      </w:r>
      <w:r>
        <w:t xml:space="preserve">A defined, GMP-grade, strictly lytic phage cocktail targeting the dominant preterm-gut </w:t>
      </w:r>
      <w:r>
        <w:rPr>
          <w:i/>
          <w:iCs/>
        </w:rPr>
        <w:t xml:space="preserve">Klebsiella</w:t>
      </w:r>
      <w:r>
        <w:t xml:space="preserve"> lineages, administered prophylactically to high-risk VLBW infants, will suppress the pre-NEC bloom and reduce NEC incidence — </w:t>
      </w:r>
      <w:r>
        <w:rPr>
          <w:b/>
          <w:bCs/>
        </w:rPr>
        <w:t xml:space="preserve">without the collateral microbiome damage caused by antibiotics</w:t>
      </w:r>
      <w:r>
        <w:t xml:space="preserve">.</w:t>
      </w:r>
    </w:p>
    <w:p>
      <w:pPr>
        <w:spacing w:after="140" w:line="276"/>
      </w:pPr>
      <w:r>
        <w:t xml:space="preserve">We will test this through three aims:</w:t>
      </w:r>
    </w:p>
    <w:p>
      <w:pPr>
        <w:pStyle w:val="ListParagraph"/>
        <w:numPr>
          <w:ilvl w:val="0"/>
          <w:numId w:val="2"/>
        </w:numPr>
        <w:spacing w:after="100" w:line="276"/>
      </w:pPr>
      <w:r>
        <w:rPr>
          <w:b/>
          <w:bCs/>
        </w:rPr>
        <w:t xml:space="preserve">Build and characterize the cocktail. </w:t>
      </w:r>
      <w:r>
        <w:t xml:space="preserve">Assemble and genomically vet a 4–6 strictly lytic phage cocktail against contemporary NICU </w:t>
      </w:r>
      <w:r>
        <w:rPr>
          <w:i/>
          <w:iCs/>
        </w:rPr>
        <w:t xml:space="preserve">Klebsiella</w:t>
      </w:r>
      <w:r>
        <w:t xml:space="preserve"> isolates; define coverage, resistance-suppression, and stability in infant-gut and human-milk conditions.</w:t>
      </w:r>
    </w:p>
    <w:p>
      <w:pPr>
        <w:pStyle w:val="ListParagraph"/>
        <w:numPr>
          <w:ilvl w:val="0"/>
          <w:numId w:val="2"/>
        </w:numPr>
        <w:spacing w:after="100" w:line="276"/>
      </w:pPr>
      <w:r>
        <w:rPr>
          <w:b/>
          <w:bCs/>
        </w:rPr>
        <w:t xml:space="preserve">Establish efficacy and microbiome-sparing safety preclinically. </w:t>
      </w:r>
      <w:r>
        <w:t xml:space="preserve">In preterm-piglet and humanized-mouse NEC models, test NEC incidence/severity and target-strain suppression, with explicit measurement of off-target microbiome integrity versus antibiotics.</w:t>
      </w:r>
    </w:p>
    <w:p>
      <w:pPr>
        <w:pStyle w:val="ListParagraph"/>
        <w:numPr>
          <w:ilvl w:val="0"/>
          <w:numId w:val="2"/>
        </w:numPr>
        <w:spacing w:after="100" w:line="276"/>
      </w:pPr>
      <w:r>
        <w:rPr>
          <w:b/>
          <w:bCs/>
        </w:rPr>
        <w:t xml:space="preserve">Biomarker-guided first-in-infant safety study. </w:t>
      </w:r>
      <w:r>
        <w:t xml:space="preserve">Under an FDA expanded-access / emergency-IND framework, evaluate safety and gut persistence in stable VLBW infants, layered on surveillance of the Klebsiella replication-rate biomarker to enable a future pre-symptomatic prophylaxis trial.</w:t>
      </w:r>
    </w:p>
    <w:p>
      <w:pPr>
        <w:spacing w:after="140" w:line="276"/>
      </w:pPr>
      <w:r>
        <w:rPr>
          <w:b/>
          <w:bCs/>
        </w:rPr>
        <w:t xml:space="preserve">Impact. </w:t>
      </w:r>
      <w:r>
        <w:t xml:space="preserve">Success would deliver the first preventive intervention precise enough to use in well, at-risk infants — because it spares the microbiome — and a generalizable model for precision antibacterials in the most vulnerable patients.</w:t>
      </w:r>
    </w:p>
    <w:p>
      <w:r>
        <w:br w:type="page"/>
      </w:r>
    </w:p>
    <w:p>
      <w:pPr>
        <w:pStyle w:val="Heading1"/>
      </w:pPr>
      <w:r>
        <w:t xml:space="preserve">Significance</w:t>
      </w:r>
    </w:p>
    <w:p>
      <w:pPr>
        <w:spacing w:after="140" w:line="276"/>
      </w:pPr>
      <w:r>
        <w:t xml:space="preserve">NEC affects roughly 5–10% of very-low-birth-weight infants and its mortality has barely moved in thirty years. Survivors face short-bowel syndrome, prolonged parenteral nutrition, and neurodevelopmental impairment. Current prevention (human milk, feeding protocols, probiotics) is partial and the evidence for probiotics in the most premature infants remains contested and carries sepsis risk.</w:t>
      </w:r>
    </w:p>
    <w:p>
      <w:pPr>
        <w:spacing w:after="140" w:line="276"/>
      </w:pPr>
      <w:r>
        <w:t xml:space="preserve">The unmet need is a </w:t>
      </w:r>
      <w:r>
        <w:rPr>
          <w:b/>
          <w:bCs/>
        </w:rPr>
        <w:t xml:space="preserve">targeted</w:t>
      </w:r>
      <w:r>
        <w:t xml:space="preserve"> preventive that can be given before symptoms without harming the developing microbiome. Antibiotics cannot serve this role — early and prolonged antibiotic exposure is itself associated with increased NEC risk. A strain-specific phage cocktail is, mechanistically, the only tool that can subtract a single pathobiont lineage from a community of hundreds of beneficial taxa. A preventive of that kind would be a category change, not an increment.</w:t>
      </w:r>
    </w:p>
    <w:p>
      <w:pPr>
        <w:pStyle w:val="Heading1"/>
      </w:pPr>
      <w:r>
        <w:t xml:space="preserve">Innovation</w:t>
      </w:r>
    </w:p>
    <w:p>
      <w:pPr>
        <w:pStyle w:val="ListParagraph"/>
        <w:numPr>
          <w:ilvl w:val="0"/>
          <w:numId w:val="3"/>
        </w:numPr>
        <w:spacing w:after="80" w:line="276"/>
      </w:pPr>
      <w:r>
        <w:t xml:space="preserve">First defined phage cocktail aimed at NEC </w:t>
      </w:r>
      <w:r>
        <w:rPr>
          <w:i/>
          <w:iCs/>
        </w:rPr>
        <w:t xml:space="preserve">prevention</w:t>
      </w:r>
      <w:r>
        <w:t xml:space="preserve"> (versus treating established infection).</w:t>
      </w:r>
    </w:p>
    <w:p>
      <w:pPr>
        <w:pStyle w:val="ListParagraph"/>
        <w:numPr>
          <w:ilvl w:val="0"/>
          <w:numId w:val="3"/>
        </w:numPr>
        <w:spacing w:after="80" w:line="276"/>
      </w:pPr>
      <w:r>
        <w:t xml:space="preserve">First use of a microbiome </w:t>
      </w:r>
      <w:r>
        <w:rPr>
          <w:b/>
          <w:bCs/>
        </w:rPr>
        <w:t xml:space="preserve">replication-rate biomarker</w:t>
      </w:r>
      <w:r>
        <w:t xml:space="preserve"> to trigger a phage intervention before symptoms appear.</w:t>
      </w:r>
    </w:p>
    <w:p>
      <w:pPr>
        <w:pStyle w:val="ListParagraph"/>
        <w:numPr>
          <w:ilvl w:val="0"/>
          <w:numId w:val="3"/>
        </w:numPr>
        <w:spacing w:after="80" w:line="276"/>
      </w:pPr>
      <w:r>
        <w:t xml:space="preserve">Directly leverages the strongest causal evidence in the field — the preterm-piglet virome-transfer / UV-inactivation experiments — and converts it into a defined, manufacturable product.</w:t>
      </w:r>
    </w:p>
    <w:p>
      <w:pPr>
        <w:pStyle w:val="ListParagraph"/>
        <w:numPr>
          <w:ilvl w:val="0"/>
          <w:numId w:val="3"/>
        </w:numPr>
        <w:spacing w:after="80" w:line="276"/>
      </w:pPr>
      <w:r>
        <w:t xml:space="preserve">Establishes a reusable template for precision antibacterials in neonatology and beyond.</w:t>
      </w:r>
    </w:p>
    <w:p>
      <w:pPr>
        <w:pStyle w:val="Heading1"/>
      </w:pPr>
      <w:r>
        <w:t xml:space="preserve">Approach</w:t>
      </w:r>
    </w:p>
    <w:p>
      <w:pPr>
        <w:pStyle w:val="Heading2"/>
      </w:pPr>
      <w:r>
        <w:t xml:space="preserve">Aim 1 — Build and characterize the anti-Klebsiella cocktail</w:t>
      </w:r>
    </w:p>
    <w:p>
      <w:pPr>
        <w:spacing w:after="140" w:line="276"/>
      </w:pPr>
      <w:r>
        <w:rPr>
          <w:b/>
          <w:bCs/>
        </w:rPr>
        <w:t xml:space="preserve">Rationale &amp; design. </w:t>
      </w:r>
      <w:r>
        <w:t xml:space="preserve">Assemble a panel of strictly lytic phages against a banked library of contemporary NICU </w:t>
      </w:r>
      <w:r>
        <w:rPr>
          <w:i/>
          <w:iCs/>
        </w:rPr>
        <w:t xml:space="preserve">Klebsiella pneumoniae</w:t>
      </w:r>
      <w:r>
        <w:t xml:space="preserve">/</w:t>
      </w:r>
      <w:r>
        <w:rPr>
          <w:i/>
          <w:iCs/>
        </w:rPr>
        <w:t xml:space="preserve">variicola</w:t>
      </w:r>
      <w:r>
        <w:t xml:space="preserve"> and </w:t>
      </w:r>
      <w:r>
        <w:rPr>
          <w:i/>
          <w:iCs/>
        </w:rPr>
        <w:t xml:space="preserve">K. aerogenes</w:t>
      </w:r>
      <w:r>
        <w:t xml:space="preserve"> isolates from partner units. Determine host range across the library, whole-genome sequence each phage to exclude integrase/lysogeny, toxin, and antimicrobial-resistance genes, and select a 4–6 phage cocktail whose members bind independent receptors to suppress resistance. Characterize stability and dosing in simulated infant-gut conditions and in human milk.</w:t>
      </w:r>
    </w:p>
    <w:p>
      <w:pPr>
        <w:spacing w:after="140" w:line="276"/>
      </w:pPr>
      <w:r>
        <w:rPr>
          <w:b/>
          <w:bCs/>
        </w:rPr>
        <w:t xml:space="preserve">Expected outcomes. </w:t>
      </w:r>
      <w:r>
        <w:t xml:space="preserve">A genomically clean cocktail with defined coverage (target ≥90% of contemporary isolates) and demonstrated suppression of resistant escape mutants, with documented stability for oral neonatal administration.</w:t>
      </w:r>
    </w:p>
    <w:p>
      <w:pPr>
        <w:pStyle w:val="Heading2"/>
      </w:pPr>
      <w:r>
        <w:t xml:space="preserve">Aim 2 — Preclinical efficacy and microbiome-sparing safety</w:t>
      </w:r>
    </w:p>
    <w:p>
      <w:pPr>
        <w:spacing w:after="140" w:line="276"/>
      </w:pPr>
      <w:r>
        <w:rPr>
          <w:b/>
          <w:bCs/>
        </w:rPr>
        <w:t xml:space="preserve">Rationale &amp; design. </w:t>
      </w:r>
      <w:r>
        <w:t xml:space="preserve">Test the cocktail in established preterm-piglet and gnotobiotic/humanized-mouse NEC models colonized with patient-derived </w:t>
      </w:r>
      <w:r>
        <w:rPr>
          <w:i/>
          <w:iCs/>
        </w:rPr>
        <w:t xml:space="preserve">Klebsiella</w:t>
      </w:r>
      <w:r>
        <w:t xml:space="preserve">. Primary endpoints: NEC incidence and histologic severity, and target-strain suppression quantified by replication-rate (peak-to-trough) metagenomics. Safety endpoints: systemic phage translocation, immune activation, and — critically — </w:t>
      </w:r>
      <w:r>
        <w:rPr>
          <w:b/>
          <w:bCs/>
        </w:rPr>
        <w:t xml:space="preserve">off-target microbiome integrity</w:t>
      </w:r>
      <w:r>
        <w:t xml:space="preserve"> (16S and shotgun metagenomics) benchmarked head-to-head against an antibiotic comparator.</w:t>
      </w:r>
    </w:p>
    <w:p>
      <w:pPr>
        <w:spacing w:after="140" w:line="276"/>
      </w:pPr>
      <w:r>
        <w:rPr>
          <w:b/>
          <w:bCs/>
        </w:rPr>
        <w:t xml:space="preserve">Expected outcomes. </w:t>
      </w:r>
      <w:r>
        <w:t xml:space="preserve">Reduced NEC incidence/severity with selective </w:t>
      </w:r>
      <w:r>
        <w:rPr>
          <w:i/>
          <w:iCs/>
        </w:rPr>
        <w:t xml:space="preserve">Klebsiella</w:t>
      </w:r>
      <w:r>
        <w:t xml:space="preserve"> suppression and preserved commensal diversity, demonstrating the core advantage over antibiotics.</w:t>
      </w:r>
    </w:p>
    <w:p>
      <w:pPr>
        <w:pStyle w:val="Heading2"/>
      </w:pPr>
      <w:r>
        <w:t xml:space="preserve">Aim 3 — Biomarker-guided first-in-infant safety study</w:t>
      </w:r>
    </w:p>
    <w:p>
      <w:pPr>
        <w:spacing w:after="140" w:line="276"/>
      </w:pPr>
      <w:r>
        <w:rPr>
          <w:b/>
          <w:bCs/>
        </w:rPr>
        <w:t xml:space="preserve">Rationale &amp; design. </w:t>
      </w:r>
      <w:r>
        <w:t xml:space="preserve">Under an FDA emergency/expanded-access IND framework and Eur. Ph. 5.31 quality standards, conduct a Phase 1 safety and gut-persistence study in stable VLBW infants, layered on a surveillance program tracking the </w:t>
      </w:r>
      <w:r>
        <w:rPr>
          <w:i/>
          <w:iCs/>
        </w:rPr>
        <w:t xml:space="preserve">Klebsiella</w:t>
      </w:r>
      <w:r>
        <w:t xml:space="preserve"> replication-rate signature. The design positions a subsequent biomarker-triggered prophylaxis trial: administer the cocktail when the bloom signature emerges, before clinical NEC.</w:t>
      </w:r>
    </w:p>
    <w:p>
      <w:pPr>
        <w:spacing w:after="140" w:line="276"/>
      </w:pPr>
      <w:r>
        <w:rPr>
          <w:b/>
          <w:bCs/>
        </w:rPr>
        <w:t xml:space="preserve">Expected outcomes. </w:t>
      </w:r>
      <w:r>
        <w:t xml:space="preserve">Demonstrated safety, tolerability, and gut persistence in the target population, plus a validated biomarker-trigger workflow ready for an efficacy trial.</w:t>
      </w:r>
    </w:p>
    <w:p>
      <w:pPr>
        <w:pStyle w:val="Heading1"/>
      </w:pPr>
      <w:r>
        <w:t xml:space="preserve">Timeline (illustrative, 3 years)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7660"/>
      </w:tblGrid>
      <w:tr>
        <w:trPr>
          <w:tblHeader/>
        </w:trPr>
        <w:tc>
          <w:tcPr>
            <w:tcW w:type="dxa" w:w="170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Period</w:t>
            </w:r>
          </w:p>
        </w:tc>
        <w:tc>
          <w:tcPr>
            <w:tcW w:type="dxa" w:w="766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Milestones</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Year 1</w:t>
            </w:r>
          </w:p>
        </w:tc>
        <w:tc>
          <w:tcPr>
            <w:tcW w:type="dxa" w:w="7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Isolate banking; phage isolation &amp; genomic vetting; cocktail selection (Aim 1).</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Year 2</w:t>
            </w:r>
          </w:p>
        </w:tc>
        <w:tc>
          <w:tcPr>
            <w:tcW w:type="dxa" w:w="7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Stability/formulation; preterm-piglet &amp; humanized-mouse efficacy and microbiome-sparing studies (Aim 2).</w:t>
            </w:r>
          </w:p>
        </w:tc>
      </w:tr>
      <w:tr>
        <w:trPr>
          <w:tblHeader w:val="false"/>
        </w:trPr>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Year 3</w:t>
            </w:r>
          </w:p>
        </w:tc>
        <w:tc>
          <w:tcPr>
            <w:tcW w:type="dxa" w:w="7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GMP production &amp; release testing; eIND/regulatory package; Phase 1 infant safety &amp; biomarker surveillance (Aim 3).</w:t>
            </w:r>
          </w:p>
        </w:tc>
      </w:tr>
    </w:tbl>
    <w:p>
      <w:pPr>
        <w:pStyle w:val="Heading1"/>
      </w:pPr>
      <w:r>
        <w:t xml:space="preserve">Budget overview (illustrative, modular)</w:t>
      </w:r>
    </w:p>
    <w:p>
      <w:pPr>
        <w:spacing w:after="140" w:line="276"/>
      </w:pPr>
      <w:r>
        <w:rPr>
          <w:i/>
          <w:iCs/>
          <w:sz w:val="20"/>
          <w:szCs w:val="20"/>
        </w:rPr>
        <w:t xml:space="preserve">Modular R01-style framing; exact figures to be set with institutional partners.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260"/>
        <w:gridCol w:w="1900"/>
      </w:tblGrid>
      <w:tr>
        <w:trPr>
          <w:tblHeader/>
        </w:trPr>
        <w:tc>
          <w:tcPr>
            <w:tcW w:type="dxa" w:w="220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Category</w:t>
            </w:r>
          </w:p>
        </w:tc>
        <w:tc>
          <w:tcPr>
            <w:tcW w:type="dxa" w:w="526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Notes</w:t>
            </w:r>
          </w:p>
        </w:tc>
        <w:tc>
          <w:tcPr>
            <w:tcW w:type="dxa" w:w="190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Approx. share</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Personnel</w:t>
            </w:r>
          </w:p>
        </w:tc>
        <w:tc>
          <w:tcPr>
            <w:tcW w:type="dxa" w:w="52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PI, phage scientist(s), bioinformatician, neonatology co-I, study coordinator</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~45%</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Phage isolation &amp; GMP</w:t>
            </w:r>
          </w:p>
        </w:tc>
        <w:tc>
          <w:tcPr>
            <w:tcW w:type="dxa" w:w="52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Isolation, sequencing, GMP production, stability &amp; release testing</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~25%</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Preclinical models</w:t>
            </w:r>
          </w:p>
        </w:tc>
        <w:tc>
          <w:tcPr>
            <w:tcW w:type="dxa" w:w="52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Preterm-piglet &amp; humanized-mouse NEC studies; histology</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~15%</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Metagenomics</w:t>
            </w:r>
          </w:p>
        </w:tc>
        <w:tc>
          <w:tcPr>
            <w:tcW w:type="dxa" w:w="52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Strain-resolved / replication-rate sequencing &amp; analysis</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~8%</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Regulatory &amp; clinical</w:t>
            </w:r>
          </w:p>
        </w:tc>
        <w:tc>
          <w:tcPr>
            <w:tcW w:type="dxa" w:w="52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eIND preparation; Phase 1 safety study costs</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~7%</w:t>
            </w:r>
          </w:p>
        </w:tc>
      </w:tr>
    </w:tbl>
    <w:p>
      <w:pPr>
        <w:pStyle w:val="Heading1"/>
      </w:pPr>
      <w:r>
        <w:t xml:space="preserve">Risks and mitigations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Risk</w:t>
            </w:r>
          </w:p>
        </w:tc>
        <w:tc>
          <w:tcPr>
            <w:tcW w:type="dxa" w:w="6160"/>
            <w:tcBorders>
              <w:top w:val="single" w:color="CCCCCC" w:sz="1"/>
              <w:left w:val="single" w:color="CCCCCC" w:sz="1"/>
              <w:bottom w:val="single" w:color="CCCCCC" w:sz="1"/>
              <w:right w:val="single" w:color="CCCCCC" w:sz="1"/>
            </w:tcBorders>
            <w:shd w:fill="E7F1F0" w:val="clear"/>
            <w:tcMar>
              <w:top w:type="dxa" w:w="60"/>
              <w:left w:type="dxa" w:w="120"/>
              <w:bottom w:type="dxa" w:w="60"/>
              <w:right w:type="dxa" w:w="120"/>
            </w:tcMar>
          </w:tcPr>
          <w:p>
            <w:r>
              <w:rPr>
                <w:b/>
                <w:bCs/>
                <w:sz w:val="20"/>
                <w:szCs w:val="20"/>
              </w:rPr>
              <w:t xml:space="preserve">Mitigation</w:t>
            </w:r>
          </w:p>
        </w:tc>
      </w:tr>
      <w:tr>
        <w:trPr>
          <w:tblHeader w:val="false"/>
        </w:trP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Phage resistance emerges</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Multi-receptor cocktail; resistance monitoring; escape mutants typically pay a fitness/virulence cost.</w:t>
            </w:r>
          </w:p>
        </w:tc>
      </w:tr>
      <w:tr>
        <w:trPr>
          <w:tblHeader w:val="false"/>
        </w:trP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Strain mismatch across sites</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Regional isolate banking; adaptive cocktail composition; broad host-range selection.</w:t>
            </w:r>
          </w:p>
        </w:tc>
      </w:tr>
      <w:tr>
        <w:trPr>
          <w:tblHeader w:val="false"/>
        </w:trP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Regulatory novelty (adaptive product)</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Magistral/eIND precedent; Eur. Ph. 5.31 quality framework; early FDA engagement.</w:t>
            </w:r>
          </w:p>
        </w:tc>
      </w:tr>
      <w:tr>
        <w:trPr>
          <w:tblHeader w:val="false"/>
        </w:trP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Neutralizing immune response</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Short prophylactic windows; oral (not systemic) route; phage rotation if needed.</w:t>
            </w:r>
          </w:p>
        </w:tc>
      </w:tr>
      <w:tr>
        <w:trPr>
          <w:tblHeader w:val="false"/>
        </w:trP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Vulnerable-population ethics</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b w:val="false"/>
                <w:bCs w:val="false"/>
                <w:sz w:val="20"/>
                <w:szCs w:val="20"/>
              </w:rPr>
              <w:t xml:space="preserve">Start in stable infants; rigorous consent; independent DSMB; biomarker-targeted enrollment.</w:t>
            </w:r>
          </w:p>
        </w:tc>
      </w:tr>
    </w:tbl>
    <w:p>
      <w:pPr>
        <w:pStyle w:val="Heading1"/>
      </w:pPr>
      <w:r>
        <w:t xml:space="preserve">Team and environment</w:t>
      </w:r>
    </w:p>
    <w:p>
      <w:pPr>
        <w:pStyle w:val="ListParagraph"/>
        <w:numPr>
          <w:ilvl w:val="0"/>
          <w:numId w:val="3"/>
        </w:numPr>
        <w:spacing w:after="80" w:line="276"/>
      </w:pPr>
      <w:r>
        <w:rPr>
          <w:b/>
          <w:bCs/>
        </w:rPr>
        <w:t xml:space="preserve">Neonatology / NICU network</w:t>
      </w:r>
      <w:r>
        <w:t xml:space="preserve"> — isolate banking, surveillance, and trial sites.</w:t>
      </w:r>
    </w:p>
    <w:p>
      <w:pPr>
        <w:pStyle w:val="ListParagraph"/>
        <w:numPr>
          <w:ilvl w:val="0"/>
          <w:numId w:val="3"/>
        </w:numPr>
        <w:spacing w:after="80" w:line="276"/>
      </w:pPr>
      <w:r>
        <w:rPr>
          <w:b/>
          <w:bCs/>
        </w:rPr>
        <w:t xml:space="preserve">Phage biology laboratory</w:t>
      </w:r>
      <w:r>
        <w:t xml:space="preserve"> — isolation, engineering, host-range and resistance studies (an at-cost academic pipeline model).</w:t>
      </w:r>
    </w:p>
    <w:p>
      <w:pPr>
        <w:pStyle w:val="ListParagraph"/>
        <w:numPr>
          <w:ilvl w:val="0"/>
          <w:numId w:val="3"/>
        </w:numPr>
        <w:spacing w:after="80" w:line="276"/>
      </w:pPr>
      <w:r>
        <w:rPr>
          <w:b/>
          <w:bCs/>
        </w:rPr>
        <w:t xml:space="preserve">Microbiome metagenomics</w:t>
      </w:r>
      <w:r>
        <w:t xml:space="preserve"> — strain-resolved replication-rate biomarker analysis; a natural role for Microbiome Medicine.</w:t>
      </w:r>
    </w:p>
    <w:p>
      <w:pPr>
        <w:pStyle w:val="ListParagraph"/>
        <w:numPr>
          <w:ilvl w:val="0"/>
          <w:numId w:val="3"/>
        </w:numPr>
        <w:spacing w:after="80" w:line="276"/>
      </w:pPr>
      <w:r>
        <w:rPr>
          <w:b/>
          <w:bCs/>
        </w:rPr>
        <w:t xml:space="preserve">GMP phage manufacturing</w:t>
      </w:r>
      <w:r>
        <w:t xml:space="preserve"> — titre, stability, and release testing to Eur. Ph. 5.31.</w:t>
      </w:r>
    </w:p>
    <w:p>
      <w:pPr>
        <w:pStyle w:val="ListParagraph"/>
        <w:numPr>
          <w:ilvl w:val="0"/>
          <w:numId w:val="3"/>
        </w:numPr>
        <w:spacing w:after="80" w:line="276"/>
      </w:pPr>
      <w:r>
        <w:rPr>
          <w:b/>
          <w:bCs/>
        </w:rPr>
        <w:t xml:space="preserve">Regulatory &amp; bioethics</w:t>
      </w:r>
      <w:r>
        <w:t xml:space="preserve"> — neonatal eIND strategy and consent in a vulnerable population.</w:t>
      </w:r>
    </w:p>
    <w:p>
      <w:pPr>
        <w:pStyle w:val="Heading1"/>
      </w:pPr>
      <w:r>
        <w:t xml:space="preserve">Selected references</w:t>
      </w:r>
    </w:p>
    <w:p>
      <w:pPr>
        <w:pStyle w:val="ListParagraph"/>
        <w:numPr>
          <w:ilvl w:val="0"/>
          <w:numId w:val="4"/>
        </w:numPr>
        <w:spacing w:after="80" w:line="264"/>
      </w:pPr>
      <w:r>
        <w:rPr>
          <w:sz w:val="20"/>
          <w:szCs w:val="20"/>
        </w:rPr>
        <w:t xml:space="preserve">Olm MR, Banfield JF, Morowitz MJ, et al. Necrotizing enterocolitis is preceded by increased gut bacterial replication, Klebsiella, and fimbriae-encoding bacteria. Science Advances. 2019;5(12):eaax5727.</w:t>
      </w:r>
    </w:p>
    <w:p>
      <w:pPr>
        <w:pStyle w:val="ListParagraph"/>
        <w:numPr>
          <w:ilvl w:val="0"/>
          <w:numId w:val="4"/>
        </w:numPr>
        <w:spacing w:after="80" w:line="264"/>
      </w:pPr>
      <w:r>
        <w:rPr>
          <w:sz w:val="20"/>
          <w:szCs w:val="20"/>
        </w:rPr>
        <w:t xml:space="preserve">Warner BB, Tarr PI, et al. Gut bacteria dysbiosis and necrotising enterocolitis in very low birthweight infants: a prospective case-control study. The Lancet. 2016;387(10031):1928–1936.</w:t>
      </w:r>
    </w:p>
    <w:p>
      <w:pPr>
        <w:pStyle w:val="ListParagraph"/>
        <w:numPr>
          <w:ilvl w:val="0"/>
          <w:numId w:val="4"/>
        </w:numPr>
        <w:spacing w:after="80" w:line="264"/>
      </w:pPr>
      <w:r>
        <w:rPr>
          <w:sz w:val="20"/>
          <w:szCs w:val="20"/>
        </w:rPr>
        <w:t xml:space="preserve">Brunse A, et al. Fecal filtrate transplantation protects against necrotizing enterocolitis. ISME Journal. 2021;15:1043–1057.</w:t>
      </w:r>
    </w:p>
    <w:p>
      <w:pPr>
        <w:pStyle w:val="ListParagraph"/>
        <w:numPr>
          <w:ilvl w:val="0"/>
          <w:numId w:val="4"/>
        </w:numPr>
        <w:spacing w:after="80" w:line="264"/>
      </w:pPr>
      <w:r>
        <w:rPr>
          <w:sz w:val="20"/>
          <w:szCs w:val="20"/>
        </w:rPr>
        <w:t xml:space="preserve">Spiegelhauer M, et al. Bacteriophages drive the protective effect of donor virome transfer against NEC (UV-inactivation). Gut Microbes. 2025.</w:t>
      </w:r>
    </w:p>
    <w:p>
      <w:pPr>
        <w:pStyle w:val="ListParagraph"/>
        <w:numPr>
          <w:ilvl w:val="0"/>
          <w:numId w:val="4"/>
        </w:numPr>
        <w:spacing w:after="80" w:line="264"/>
      </w:pPr>
      <w:r>
        <w:rPr>
          <w:sz w:val="20"/>
          <w:szCs w:val="20"/>
        </w:rPr>
        <w:t xml:space="preserve">Federici S, et al. Targeted suppression of human IBD-associated gut microbiota by phage cocktail. Cell. 2022;185(16):2879–2898.</w:t>
      </w:r>
    </w:p>
    <w:p>
      <w:pPr>
        <w:pStyle w:val="ListParagraph"/>
        <w:numPr>
          <w:ilvl w:val="0"/>
          <w:numId w:val="4"/>
        </w:numPr>
        <w:spacing w:after="80" w:line="264"/>
      </w:pPr>
      <w:r>
        <w:rPr>
          <w:sz w:val="20"/>
          <w:szCs w:val="20"/>
        </w:rPr>
        <w:t xml:space="preserve">Liang G, Bushman FD, et al. The stepwise assembly of the neonatal virome modulated by breastfeeding. Nature. 2020;581:470–474.</w:t>
      </w:r>
    </w:p>
    <w:p>
      <w:pPr>
        <w:pStyle w:val="ListParagraph"/>
        <w:numPr>
          <w:ilvl w:val="0"/>
          <w:numId w:val="4"/>
        </w:numPr>
        <w:spacing w:after="80" w:line="264"/>
      </w:pPr>
      <w:r>
        <w:rPr>
          <w:sz w:val="20"/>
          <w:szCs w:val="20"/>
        </w:rPr>
        <w:t xml:space="preserve">Pirnay JP, et al. Personalized bacteriophage therapy outcomes for 100 consecutive cases. Nature Microbiology. 2024.</w:t>
      </w:r>
    </w:p>
    <w:p>
      <w:pPr>
        <w:pStyle w:val="ListParagraph"/>
        <w:numPr>
          <w:ilvl w:val="0"/>
          <w:numId w:val="4"/>
        </w:numPr>
        <w:spacing w:after="80" w:line="264"/>
      </w:pPr>
      <w:r>
        <w:rPr>
          <w:sz w:val="20"/>
          <w:szCs w:val="20"/>
        </w:rPr>
        <w:t xml:space="preserve">Schooley RT, Strathdee SA, et al. Development and use of personalized bacteriophage-based therapeutic cocktails to treat multidrug-resistant Acinetobacter baumannii. Antimicrob Agents Chemother. 2017;61(10):e00954-17.</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Page </w:t>
    </w:r>
    <w:r>
      <w:rPr>
        <w:color w:val="888888"/>
        <w:sz w:val="16"/>
        <w:szCs w:val="16"/>
      </w:rPr>
      <w:fldChar w:fldCharType="begin"/>
      <w:instrText xml:space="preserve">PAGE</w:instrText>
      <w:fldChar w:fldCharType="separate"/>
      <w:fldChar w:fldCharType="end"/>
    </w:r>
    <w:r>
      <w:rPr>
        <w:color w:val="888888"/>
        <w:sz w:val="16"/>
        <w:szCs w:val="16"/>
      </w:rPr>
      <w:t xml:space="preserve">  ·  Concept document — for discussion, not a submitted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2"/>
      </w:pBdr>
    </w:pPr>
    <w:r>
      <w:rPr>
        <w:color w:val="888888"/>
        <w:sz w:val="16"/>
        <w:szCs w:val="16"/>
      </w:rPr>
      <w:t xml:space="preserve">PhageCocktails  ·  Grant Concept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abstractNum w:abstractNumId="4" w15:restartNumberingAfterBreak="0">
    <w:multiLevelType w:val="hybridMultilevel"/>
    <w:lvl w:ilvl="0" w15:tentative="1">
      <w:start w:val="1"/>
      <w:numFmt w:val="decimal"/>
      <w:lvlText w:val="%1."/>
      <w:lvlJc w:val="left"/>
      <w:pPr>
        <w:ind w:left="48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0D7D74"/>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11201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Precision Phage Cocktail to Prevent NEC — Grant Concept</dc:title>
  <dc:creator>PhageCocktails</dc:creator>
  <cp:lastModifiedBy>Un-named</cp:lastModifiedBy>
  <cp:revision>1</cp:revision>
  <dcterms:created xsi:type="dcterms:W3CDTF">2026-06-26T07:49:53.382Z</dcterms:created>
  <dcterms:modified xsi:type="dcterms:W3CDTF">2026-06-26T07:49:53.383Z</dcterms:modified>
</cp:coreProperties>
</file>

<file path=docProps/custom.xml><?xml version="1.0" encoding="utf-8"?>
<Properties xmlns="http://schemas.openxmlformats.org/officeDocument/2006/custom-properties" xmlns:vt="http://schemas.openxmlformats.org/officeDocument/2006/docPropsVTypes"/>
</file>